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34" w:rsidRPr="00C10396" w:rsidRDefault="00026634" w:rsidP="00026634">
      <w:pPr>
        <w:pStyle w:val="2"/>
        <w:jc w:val="center"/>
        <w:rPr>
          <w:rFonts w:ascii="Times New Roman" w:eastAsia="宋体" w:hAnsi="Times New Roman"/>
          <w:b w:val="0"/>
          <w:bCs w:val="0"/>
          <w:sz w:val="36"/>
          <w:szCs w:val="36"/>
        </w:rPr>
      </w:pPr>
      <w:bookmarkStart w:id="0" w:name="_Toc286935839"/>
      <w:bookmarkStart w:id="1" w:name="_Toc289106957"/>
      <w:bookmarkStart w:id="2" w:name="_Toc289870123"/>
      <w:r w:rsidRPr="00C10396">
        <w:rPr>
          <w:rFonts w:ascii="Times New Roman" w:eastAsia="宋体" w:hAnsi="宋体"/>
          <w:b w:val="0"/>
          <w:bCs w:val="0"/>
          <w:sz w:val="36"/>
          <w:szCs w:val="36"/>
        </w:rPr>
        <w:t>大型精密贵重仪器设备管理办法</w:t>
      </w:r>
      <w:bookmarkEnd w:id="0"/>
      <w:bookmarkEnd w:id="1"/>
      <w:bookmarkEnd w:id="2"/>
    </w:p>
    <w:p w:rsidR="00026634" w:rsidRPr="00C10396" w:rsidRDefault="00026634" w:rsidP="00026634">
      <w:pPr>
        <w:spacing w:line="360" w:lineRule="auto"/>
        <w:ind w:firstLineChars="200" w:firstLine="482"/>
        <w:rPr>
          <w:sz w:val="24"/>
        </w:rPr>
      </w:pPr>
      <w:r>
        <w:rPr>
          <w:rFonts w:hint="eastAsia"/>
          <w:b/>
          <w:sz w:val="24"/>
        </w:rPr>
        <w:t>第一条</w:t>
      </w:r>
      <w:r>
        <w:rPr>
          <w:rFonts w:hint="eastAsia"/>
          <w:b/>
          <w:sz w:val="24"/>
        </w:rPr>
        <w:t xml:space="preserve"> </w:t>
      </w:r>
      <w:r w:rsidRPr="00C10396">
        <w:rPr>
          <w:rFonts w:hAnsi="宋体"/>
          <w:sz w:val="24"/>
        </w:rPr>
        <w:t>为了进一步加强我系教学及科研大型精密贵重仪器设备的管理，充分发挥大型精密贵重仪器设备的作用，更好地为教学、科研及社会服务，特制订本管理办法。</w:t>
      </w:r>
    </w:p>
    <w:p w:rsidR="00026634" w:rsidRPr="00C10396" w:rsidRDefault="00026634" w:rsidP="00026634">
      <w:pPr>
        <w:spacing w:line="360" w:lineRule="auto"/>
        <w:ind w:firstLineChars="200" w:firstLine="482"/>
        <w:rPr>
          <w:sz w:val="24"/>
        </w:rPr>
      </w:pPr>
      <w:r>
        <w:rPr>
          <w:rFonts w:hint="eastAsia"/>
          <w:b/>
          <w:sz w:val="24"/>
        </w:rPr>
        <w:t>第二条</w:t>
      </w:r>
      <w:r>
        <w:rPr>
          <w:rFonts w:hint="eastAsia"/>
          <w:b/>
          <w:sz w:val="24"/>
        </w:rPr>
        <w:t xml:space="preserve"> </w:t>
      </w:r>
      <w:r w:rsidRPr="00C10396">
        <w:rPr>
          <w:rFonts w:hAnsi="宋体"/>
          <w:sz w:val="24"/>
        </w:rPr>
        <w:t>根据有关规定，结合我系实际，确定本办法管理的范围为：</w:t>
      </w:r>
    </w:p>
    <w:p w:rsidR="00026634" w:rsidRPr="00C10396" w:rsidRDefault="00026634" w:rsidP="00026634">
      <w:pPr>
        <w:spacing w:line="360" w:lineRule="auto"/>
        <w:ind w:firstLineChars="200" w:firstLine="480"/>
        <w:rPr>
          <w:sz w:val="24"/>
        </w:rPr>
      </w:pPr>
      <w:r w:rsidRPr="00C10396">
        <w:rPr>
          <w:bCs/>
          <w:sz w:val="24"/>
        </w:rPr>
        <w:t>1</w:t>
      </w:r>
      <w:r>
        <w:rPr>
          <w:rFonts w:hint="eastAsia"/>
          <w:bCs/>
          <w:sz w:val="24"/>
        </w:rPr>
        <w:t>、</w:t>
      </w:r>
      <w:r w:rsidRPr="00C10396">
        <w:rPr>
          <w:rFonts w:hAnsi="宋体"/>
          <w:sz w:val="24"/>
        </w:rPr>
        <w:t>单价在</w:t>
      </w:r>
      <w:r w:rsidRPr="00C10396">
        <w:rPr>
          <w:sz w:val="24"/>
        </w:rPr>
        <w:t>10</w:t>
      </w:r>
      <w:r w:rsidRPr="00C10396">
        <w:rPr>
          <w:rFonts w:hAnsi="宋体"/>
          <w:sz w:val="24"/>
        </w:rPr>
        <w:t>万元及以上的大型精密贵重仪器设备；</w:t>
      </w:r>
    </w:p>
    <w:p w:rsidR="00026634" w:rsidRPr="00C10396" w:rsidRDefault="00026634" w:rsidP="00026634">
      <w:pPr>
        <w:spacing w:line="360" w:lineRule="auto"/>
        <w:ind w:firstLineChars="200" w:firstLine="480"/>
        <w:rPr>
          <w:sz w:val="24"/>
        </w:rPr>
      </w:pPr>
      <w:r w:rsidRPr="00C10396">
        <w:rPr>
          <w:bCs/>
          <w:sz w:val="24"/>
        </w:rPr>
        <w:t>2</w:t>
      </w:r>
      <w:r>
        <w:rPr>
          <w:rFonts w:hint="eastAsia"/>
          <w:bCs/>
          <w:sz w:val="24"/>
        </w:rPr>
        <w:t>、</w:t>
      </w:r>
      <w:r w:rsidRPr="00C10396">
        <w:rPr>
          <w:rFonts w:hAnsi="宋体"/>
          <w:sz w:val="24"/>
        </w:rPr>
        <w:t>单价虽不足</w:t>
      </w:r>
      <w:r w:rsidRPr="00C10396">
        <w:rPr>
          <w:sz w:val="24"/>
        </w:rPr>
        <w:t>10</w:t>
      </w:r>
      <w:r w:rsidRPr="00C10396">
        <w:rPr>
          <w:rFonts w:hAnsi="宋体"/>
          <w:sz w:val="24"/>
        </w:rPr>
        <w:t>万元，但属于成套购置或配套使用，整套价格超过或达到</w:t>
      </w:r>
      <w:r w:rsidRPr="00C10396">
        <w:rPr>
          <w:sz w:val="24"/>
        </w:rPr>
        <w:t>20</w:t>
      </w:r>
      <w:r w:rsidRPr="00C10396">
        <w:rPr>
          <w:rFonts w:hAnsi="宋体"/>
          <w:sz w:val="24"/>
        </w:rPr>
        <w:t>万元的大型精密贵重仪器设备；</w:t>
      </w:r>
    </w:p>
    <w:p w:rsidR="00026634" w:rsidRPr="00C10396" w:rsidRDefault="00026634" w:rsidP="00026634">
      <w:pPr>
        <w:spacing w:line="360" w:lineRule="auto"/>
        <w:ind w:firstLineChars="200" w:firstLine="480"/>
        <w:rPr>
          <w:sz w:val="24"/>
        </w:rPr>
      </w:pPr>
      <w:r w:rsidRPr="00C10396">
        <w:rPr>
          <w:bCs/>
          <w:sz w:val="24"/>
        </w:rPr>
        <w:t>3</w:t>
      </w:r>
      <w:r>
        <w:rPr>
          <w:rFonts w:hint="eastAsia"/>
          <w:bCs/>
          <w:sz w:val="24"/>
        </w:rPr>
        <w:t>、</w:t>
      </w:r>
      <w:r w:rsidRPr="00C10396">
        <w:rPr>
          <w:rFonts w:hAnsi="宋体"/>
          <w:sz w:val="24"/>
        </w:rPr>
        <w:t>其它稀缺而有较高精度的仪器设备。</w:t>
      </w:r>
    </w:p>
    <w:p w:rsidR="00026634" w:rsidRPr="008E3E67" w:rsidRDefault="00026634" w:rsidP="00026634">
      <w:pPr>
        <w:spacing w:line="360" w:lineRule="auto"/>
        <w:ind w:firstLineChars="200" w:firstLine="482"/>
        <w:rPr>
          <w:b/>
          <w:bCs/>
          <w:sz w:val="24"/>
        </w:rPr>
      </w:pPr>
      <w:r>
        <w:rPr>
          <w:rFonts w:hint="eastAsia"/>
          <w:b/>
          <w:sz w:val="24"/>
        </w:rPr>
        <w:t>第三条</w:t>
      </w:r>
      <w:r>
        <w:rPr>
          <w:rFonts w:hint="eastAsia"/>
          <w:b/>
          <w:bCs/>
          <w:sz w:val="24"/>
        </w:rPr>
        <w:t xml:space="preserve"> </w:t>
      </w:r>
      <w:r w:rsidRPr="00C10396">
        <w:rPr>
          <w:rFonts w:hAnsi="宋体"/>
          <w:sz w:val="24"/>
        </w:rPr>
        <w:t>须由使用单位提供购置仪器设备的可行性论证报告经专家及有关人员对可行性报告进行论证，并提出审核意见，</w:t>
      </w:r>
      <w:proofErr w:type="gramStart"/>
      <w:r w:rsidRPr="00C10396">
        <w:rPr>
          <w:rFonts w:hAnsi="宋体"/>
          <w:sz w:val="24"/>
        </w:rPr>
        <w:t>由系部上报</w:t>
      </w:r>
      <w:proofErr w:type="gramEnd"/>
      <w:r w:rsidRPr="00C10396">
        <w:rPr>
          <w:rFonts w:hAnsi="宋体"/>
          <w:sz w:val="24"/>
        </w:rPr>
        <w:t>学校批准后方可购置。</w:t>
      </w:r>
    </w:p>
    <w:p w:rsidR="00026634" w:rsidRPr="00C10396" w:rsidRDefault="00026634" w:rsidP="00026634">
      <w:pPr>
        <w:spacing w:line="360" w:lineRule="auto"/>
        <w:ind w:firstLineChars="200" w:firstLine="482"/>
        <w:rPr>
          <w:sz w:val="24"/>
        </w:rPr>
      </w:pPr>
      <w:r>
        <w:rPr>
          <w:rFonts w:hint="eastAsia"/>
          <w:b/>
          <w:sz w:val="24"/>
        </w:rPr>
        <w:t>第四条</w:t>
      </w:r>
      <w:r>
        <w:rPr>
          <w:rFonts w:hint="eastAsia"/>
          <w:b/>
          <w:sz w:val="24"/>
        </w:rPr>
        <w:t xml:space="preserve"> </w:t>
      </w:r>
      <w:r w:rsidRPr="008E3E67">
        <w:rPr>
          <w:rFonts w:hAnsi="宋体"/>
          <w:b/>
          <w:bCs/>
          <w:sz w:val="24"/>
        </w:rPr>
        <w:t>大型精密贵重仪器设备的管理</w:t>
      </w:r>
    </w:p>
    <w:p w:rsidR="00026634" w:rsidRPr="00C10396" w:rsidRDefault="00026634" w:rsidP="00026634">
      <w:pPr>
        <w:spacing w:line="360" w:lineRule="auto"/>
        <w:ind w:firstLineChars="200" w:firstLine="480"/>
        <w:rPr>
          <w:sz w:val="24"/>
        </w:rPr>
      </w:pPr>
      <w:r w:rsidRPr="00C10396">
        <w:rPr>
          <w:sz w:val="24"/>
        </w:rPr>
        <w:t>1</w:t>
      </w:r>
      <w:r>
        <w:rPr>
          <w:rFonts w:hint="eastAsia"/>
          <w:sz w:val="24"/>
        </w:rPr>
        <w:t>、</w:t>
      </w:r>
      <w:r w:rsidRPr="00C10396">
        <w:rPr>
          <w:rFonts w:hAnsi="宋体"/>
          <w:sz w:val="24"/>
        </w:rPr>
        <w:t>大型精密贵重仪器设备的申购、审批、购置、</w:t>
      </w:r>
      <w:proofErr w:type="gramStart"/>
      <w:r w:rsidRPr="00C10396">
        <w:rPr>
          <w:rFonts w:hAnsi="宋体"/>
          <w:sz w:val="24"/>
        </w:rPr>
        <w:t>验收按</w:t>
      </w:r>
      <w:proofErr w:type="gramEnd"/>
      <w:r w:rsidRPr="00C10396">
        <w:rPr>
          <w:rFonts w:hAnsi="宋体"/>
          <w:sz w:val="24"/>
        </w:rPr>
        <w:t>《浙江经贸职业技术学院仪器设备管理办法》执行。</w:t>
      </w:r>
    </w:p>
    <w:p w:rsidR="00026634" w:rsidRPr="00C10396" w:rsidRDefault="00026634" w:rsidP="00026634">
      <w:pPr>
        <w:spacing w:line="360" w:lineRule="auto"/>
        <w:ind w:firstLineChars="200" w:firstLine="480"/>
        <w:rPr>
          <w:sz w:val="24"/>
        </w:rPr>
      </w:pPr>
      <w:r w:rsidRPr="00C10396">
        <w:rPr>
          <w:sz w:val="24"/>
        </w:rPr>
        <w:t>2</w:t>
      </w:r>
      <w:r>
        <w:rPr>
          <w:rFonts w:hint="eastAsia"/>
          <w:sz w:val="24"/>
        </w:rPr>
        <w:t>、</w:t>
      </w:r>
      <w:r w:rsidRPr="00C10396">
        <w:rPr>
          <w:rFonts w:hAnsi="宋体"/>
          <w:sz w:val="24"/>
        </w:rPr>
        <w:t>大型精密贵重仪器设备必须逐</w:t>
      </w:r>
      <w:proofErr w:type="gramStart"/>
      <w:r w:rsidRPr="00C10396">
        <w:rPr>
          <w:rFonts w:hAnsi="宋体"/>
          <w:sz w:val="24"/>
        </w:rPr>
        <w:t>套制定</w:t>
      </w:r>
      <w:proofErr w:type="gramEnd"/>
      <w:r w:rsidRPr="00C10396">
        <w:rPr>
          <w:rFonts w:hAnsi="宋体"/>
          <w:sz w:val="24"/>
        </w:rPr>
        <w:t>操作规程，建立使用、维修、运行记录。</w:t>
      </w:r>
    </w:p>
    <w:p w:rsidR="00026634" w:rsidRPr="00C10396" w:rsidRDefault="00026634" w:rsidP="00026634">
      <w:pPr>
        <w:spacing w:line="360" w:lineRule="auto"/>
        <w:ind w:firstLineChars="200" w:firstLine="480"/>
        <w:rPr>
          <w:sz w:val="24"/>
        </w:rPr>
      </w:pPr>
      <w:r w:rsidRPr="00C10396">
        <w:rPr>
          <w:sz w:val="24"/>
        </w:rPr>
        <w:t>3</w:t>
      </w:r>
      <w:r>
        <w:rPr>
          <w:rFonts w:hint="eastAsia"/>
          <w:sz w:val="24"/>
        </w:rPr>
        <w:t>、</w:t>
      </w:r>
      <w:r w:rsidRPr="00C10396">
        <w:rPr>
          <w:rFonts w:hAnsi="宋体"/>
          <w:sz w:val="24"/>
        </w:rPr>
        <w:t>每台大型精密贵重仪器设备必须选派专人管理。管理人员必须工作认真负责，熟悉所管仪器设备的结构、性能，精通操作，并能够承担保养维护、技术培训及开发应用等任务。</w:t>
      </w:r>
    </w:p>
    <w:p w:rsidR="00026634" w:rsidRPr="00C10396" w:rsidRDefault="00026634" w:rsidP="00026634">
      <w:pPr>
        <w:spacing w:line="360" w:lineRule="auto"/>
        <w:ind w:firstLineChars="200" w:firstLine="480"/>
        <w:rPr>
          <w:sz w:val="24"/>
        </w:rPr>
      </w:pPr>
      <w:r w:rsidRPr="00C10396">
        <w:rPr>
          <w:sz w:val="24"/>
        </w:rPr>
        <w:t>4</w:t>
      </w:r>
      <w:r>
        <w:rPr>
          <w:rFonts w:hint="eastAsia"/>
          <w:sz w:val="24"/>
        </w:rPr>
        <w:t>、</w:t>
      </w:r>
      <w:r w:rsidRPr="00C10396">
        <w:rPr>
          <w:rFonts w:hAnsi="宋体"/>
          <w:sz w:val="24"/>
        </w:rPr>
        <w:t>由学校委派外出学习带回的有关资料，应交实训基地存档。</w:t>
      </w:r>
    </w:p>
    <w:p w:rsidR="00026634" w:rsidRPr="008E3E67" w:rsidRDefault="00026634" w:rsidP="00026634">
      <w:pPr>
        <w:spacing w:line="360" w:lineRule="auto"/>
        <w:ind w:firstLineChars="200" w:firstLine="482"/>
        <w:rPr>
          <w:b/>
          <w:bCs/>
          <w:sz w:val="24"/>
        </w:rPr>
      </w:pPr>
      <w:r>
        <w:rPr>
          <w:rFonts w:hint="eastAsia"/>
          <w:b/>
          <w:sz w:val="24"/>
        </w:rPr>
        <w:t>第五条</w:t>
      </w:r>
      <w:r>
        <w:rPr>
          <w:rFonts w:hint="eastAsia"/>
          <w:b/>
          <w:sz w:val="24"/>
        </w:rPr>
        <w:t xml:space="preserve"> </w:t>
      </w:r>
      <w:r w:rsidRPr="008E3E67">
        <w:rPr>
          <w:rFonts w:hAnsi="宋体"/>
          <w:b/>
          <w:bCs/>
          <w:sz w:val="24"/>
        </w:rPr>
        <w:t>大型精密贵重仪器设备的维修和重大事故的处理</w:t>
      </w:r>
    </w:p>
    <w:p w:rsidR="00026634" w:rsidRPr="00C10396" w:rsidRDefault="00026634" w:rsidP="00026634">
      <w:pPr>
        <w:spacing w:line="360" w:lineRule="auto"/>
        <w:ind w:firstLineChars="200" w:firstLine="480"/>
        <w:rPr>
          <w:sz w:val="24"/>
        </w:rPr>
      </w:pPr>
      <w:r w:rsidRPr="00C10396">
        <w:rPr>
          <w:bCs/>
          <w:sz w:val="24"/>
        </w:rPr>
        <w:t>1</w:t>
      </w:r>
      <w:r>
        <w:rPr>
          <w:rFonts w:hint="eastAsia"/>
          <w:bCs/>
          <w:sz w:val="24"/>
        </w:rPr>
        <w:t>、</w:t>
      </w:r>
      <w:r w:rsidRPr="00C10396">
        <w:rPr>
          <w:rFonts w:hAnsi="宋体"/>
          <w:sz w:val="24"/>
        </w:rPr>
        <w:t>大型精密贵重仪器设备的维护应立足于自力更生，要加强培养自己的维护人员，如有故障原则上聘请专业技术人员进行维修或送到指定维修点维修。</w:t>
      </w:r>
    </w:p>
    <w:p w:rsidR="00026634" w:rsidRPr="00C10396" w:rsidRDefault="00026634" w:rsidP="00026634">
      <w:pPr>
        <w:spacing w:line="360" w:lineRule="auto"/>
        <w:ind w:firstLineChars="200" w:firstLine="480"/>
        <w:rPr>
          <w:sz w:val="24"/>
        </w:rPr>
      </w:pPr>
      <w:r w:rsidRPr="00C10396">
        <w:rPr>
          <w:bCs/>
          <w:sz w:val="24"/>
        </w:rPr>
        <w:t>2</w:t>
      </w:r>
      <w:r>
        <w:rPr>
          <w:rFonts w:hint="eastAsia"/>
          <w:bCs/>
          <w:sz w:val="24"/>
        </w:rPr>
        <w:t>、</w:t>
      </w:r>
      <w:r w:rsidRPr="00C10396">
        <w:rPr>
          <w:rFonts w:hAnsi="宋体"/>
          <w:sz w:val="24"/>
        </w:rPr>
        <w:t>大型精密贵重仪器设备发生事故，应及时向学校报告。查明原因，属于责任事故者应追究责任并视情节轻重，给予批评教育，赔偿经济损失，直至纪律处分。</w:t>
      </w:r>
    </w:p>
    <w:p w:rsidR="00026634" w:rsidRPr="00C10396" w:rsidRDefault="00026634" w:rsidP="00026634">
      <w:pPr>
        <w:spacing w:line="360" w:lineRule="auto"/>
        <w:ind w:firstLineChars="200" w:firstLine="482"/>
        <w:rPr>
          <w:bCs/>
          <w:sz w:val="24"/>
        </w:rPr>
      </w:pPr>
      <w:r>
        <w:rPr>
          <w:rFonts w:hint="eastAsia"/>
          <w:b/>
          <w:sz w:val="24"/>
        </w:rPr>
        <w:t>第六条</w:t>
      </w:r>
      <w:r>
        <w:rPr>
          <w:rFonts w:hint="eastAsia"/>
          <w:b/>
          <w:sz w:val="24"/>
        </w:rPr>
        <w:t xml:space="preserve"> </w:t>
      </w:r>
      <w:r w:rsidRPr="008E3E67">
        <w:rPr>
          <w:rFonts w:hAnsi="宋体"/>
          <w:b/>
          <w:bCs/>
          <w:sz w:val="24"/>
        </w:rPr>
        <w:t>大型精密贵重仪器设备的借用、调拨、报废</w:t>
      </w:r>
    </w:p>
    <w:p w:rsidR="00026634" w:rsidRPr="00C10396" w:rsidRDefault="00026634" w:rsidP="00026634">
      <w:pPr>
        <w:spacing w:line="360" w:lineRule="auto"/>
        <w:ind w:firstLineChars="200" w:firstLine="480"/>
        <w:rPr>
          <w:sz w:val="24"/>
        </w:rPr>
      </w:pPr>
      <w:r w:rsidRPr="00C10396">
        <w:rPr>
          <w:rFonts w:hAnsi="宋体"/>
          <w:sz w:val="24"/>
        </w:rPr>
        <w:t>一般不外借，特殊情况借用需要办理一定手续。需要报废的大型精密贵重仪</w:t>
      </w:r>
      <w:r w:rsidRPr="00C10396">
        <w:rPr>
          <w:rFonts w:hAnsi="宋体"/>
          <w:sz w:val="24"/>
        </w:rPr>
        <w:lastRenderedPageBreak/>
        <w:t>器设备，学院要认真组织技术鉴定，确实符合报废条件的经主管领导审批后，办理报废、</w:t>
      </w:r>
      <w:proofErr w:type="gramStart"/>
      <w:r w:rsidRPr="00C10396">
        <w:rPr>
          <w:rFonts w:hAnsi="宋体"/>
          <w:sz w:val="24"/>
        </w:rPr>
        <w:t>销帐</w:t>
      </w:r>
      <w:proofErr w:type="gramEnd"/>
      <w:r w:rsidRPr="00C10396">
        <w:rPr>
          <w:rFonts w:hAnsi="宋体"/>
          <w:sz w:val="24"/>
        </w:rPr>
        <w:t>手续。</w:t>
      </w:r>
    </w:p>
    <w:p w:rsidR="00026634" w:rsidRPr="00C10396" w:rsidRDefault="00026634" w:rsidP="00026634">
      <w:pPr>
        <w:spacing w:line="360" w:lineRule="auto"/>
        <w:ind w:firstLineChars="200" w:firstLine="482"/>
        <w:rPr>
          <w:sz w:val="24"/>
        </w:rPr>
      </w:pPr>
      <w:r>
        <w:rPr>
          <w:rFonts w:hint="eastAsia"/>
          <w:b/>
          <w:sz w:val="24"/>
        </w:rPr>
        <w:t>第七条</w:t>
      </w:r>
      <w:r>
        <w:rPr>
          <w:rFonts w:hint="eastAsia"/>
          <w:b/>
          <w:sz w:val="24"/>
        </w:rPr>
        <w:t xml:space="preserve"> </w:t>
      </w:r>
      <w:r w:rsidRPr="00C10396">
        <w:rPr>
          <w:rFonts w:hAnsi="宋体"/>
          <w:sz w:val="24"/>
        </w:rPr>
        <w:t>本办法由生物与食品技术综合实训基地解释，如有与学校相关规定不符或抵触之处，应以学校规定为准。</w:t>
      </w:r>
      <w:r w:rsidRPr="00C10396">
        <w:rPr>
          <w:sz w:val="24"/>
        </w:rPr>
        <w:t xml:space="preserve">   </w:t>
      </w:r>
    </w:p>
    <w:p w:rsidR="00026634" w:rsidRPr="00C10396" w:rsidRDefault="00026634" w:rsidP="00026634">
      <w:pPr>
        <w:spacing w:line="360" w:lineRule="auto"/>
        <w:ind w:firstLineChars="200" w:firstLine="482"/>
        <w:rPr>
          <w:sz w:val="24"/>
        </w:rPr>
      </w:pPr>
      <w:r>
        <w:rPr>
          <w:rFonts w:hint="eastAsia"/>
          <w:b/>
          <w:sz w:val="24"/>
        </w:rPr>
        <w:t>第八条</w:t>
      </w:r>
      <w:r>
        <w:rPr>
          <w:rFonts w:hint="eastAsia"/>
          <w:b/>
          <w:sz w:val="24"/>
        </w:rPr>
        <w:t xml:space="preserve"> </w:t>
      </w:r>
      <w:r w:rsidRPr="00C10396">
        <w:rPr>
          <w:rFonts w:hAnsi="宋体"/>
          <w:sz w:val="24"/>
        </w:rPr>
        <w:t>本办法自</w:t>
      </w:r>
      <w:r>
        <w:rPr>
          <w:rFonts w:hAnsi="宋体" w:hint="eastAsia"/>
          <w:sz w:val="24"/>
        </w:rPr>
        <w:t>公布之日</w:t>
      </w:r>
      <w:r w:rsidRPr="00C10396">
        <w:rPr>
          <w:rFonts w:hAnsi="宋体"/>
          <w:sz w:val="24"/>
        </w:rPr>
        <w:t>起施行。</w:t>
      </w:r>
    </w:p>
    <w:p w:rsidR="00B53769" w:rsidRPr="00026634" w:rsidRDefault="00B53769">
      <w:pPr>
        <w:rPr>
          <w:rFonts w:hint="eastAsia"/>
        </w:rPr>
      </w:pPr>
      <w:bookmarkStart w:id="3" w:name="_GoBack"/>
      <w:bookmarkEnd w:id="3"/>
    </w:p>
    <w:sectPr w:rsidR="00B53769" w:rsidRPr="00026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1B" w:rsidRDefault="00002F1B" w:rsidP="00026634">
      <w:r>
        <w:separator/>
      </w:r>
    </w:p>
  </w:endnote>
  <w:endnote w:type="continuationSeparator" w:id="0">
    <w:p w:rsidR="00002F1B" w:rsidRDefault="00002F1B" w:rsidP="0002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1B" w:rsidRDefault="00002F1B" w:rsidP="00026634">
      <w:r>
        <w:separator/>
      </w:r>
    </w:p>
  </w:footnote>
  <w:footnote w:type="continuationSeparator" w:id="0">
    <w:p w:rsidR="00002F1B" w:rsidRDefault="00002F1B" w:rsidP="0002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5F"/>
    <w:rsid w:val="00002F1B"/>
    <w:rsid w:val="00026634"/>
    <w:rsid w:val="00B53769"/>
    <w:rsid w:val="00E9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34"/>
    <w:pPr>
      <w:widowControl w:val="0"/>
      <w:jc w:val="both"/>
    </w:pPr>
    <w:rPr>
      <w:rFonts w:ascii="Times New Roman" w:eastAsia="宋体" w:hAnsi="Times New Roman" w:cs="Times New Roman"/>
      <w:szCs w:val="24"/>
    </w:rPr>
  </w:style>
  <w:style w:type="paragraph" w:styleId="2">
    <w:name w:val="heading 2"/>
    <w:basedOn w:val="a"/>
    <w:next w:val="a"/>
    <w:link w:val="2Char"/>
    <w:qFormat/>
    <w:rsid w:val="0002663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6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6634"/>
    <w:rPr>
      <w:sz w:val="18"/>
      <w:szCs w:val="18"/>
    </w:rPr>
  </w:style>
  <w:style w:type="paragraph" w:styleId="a4">
    <w:name w:val="footer"/>
    <w:basedOn w:val="a"/>
    <w:link w:val="Char0"/>
    <w:uiPriority w:val="99"/>
    <w:unhideWhenUsed/>
    <w:rsid w:val="000266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6634"/>
    <w:rPr>
      <w:sz w:val="18"/>
      <w:szCs w:val="18"/>
    </w:rPr>
  </w:style>
  <w:style w:type="character" w:customStyle="1" w:styleId="2Char">
    <w:name w:val="标题 2 Char"/>
    <w:basedOn w:val="a0"/>
    <w:link w:val="2"/>
    <w:rsid w:val="00026634"/>
    <w:rPr>
      <w:rFonts w:ascii="Arial" w:eastAsia="黑体" w:hAnsi="Arial" w:cs="Times New Roman"/>
      <w:b/>
      <w:bCs/>
      <w:sz w:val="32"/>
      <w:szCs w:val="32"/>
    </w:rPr>
  </w:style>
  <w:style w:type="paragraph" w:customStyle="1" w:styleId="CharCharCharCharCharCharCharCharCharCharCharCharCharCharCharChar">
    <w:name w:val=" Char Char Char Char Char Char Char Char Char Char Char Char Char Char Char Char"/>
    <w:basedOn w:val="a"/>
    <w:rsid w:val="00026634"/>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34"/>
    <w:pPr>
      <w:widowControl w:val="0"/>
      <w:jc w:val="both"/>
    </w:pPr>
    <w:rPr>
      <w:rFonts w:ascii="Times New Roman" w:eastAsia="宋体" w:hAnsi="Times New Roman" w:cs="Times New Roman"/>
      <w:szCs w:val="24"/>
    </w:rPr>
  </w:style>
  <w:style w:type="paragraph" w:styleId="2">
    <w:name w:val="heading 2"/>
    <w:basedOn w:val="a"/>
    <w:next w:val="a"/>
    <w:link w:val="2Char"/>
    <w:qFormat/>
    <w:rsid w:val="0002663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6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6634"/>
    <w:rPr>
      <w:sz w:val="18"/>
      <w:szCs w:val="18"/>
    </w:rPr>
  </w:style>
  <w:style w:type="paragraph" w:styleId="a4">
    <w:name w:val="footer"/>
    <w:basedOn w:val="a"/>
    <w:link w:val="Char0"/>
    <w:uiPriority w:val="99"/>
    <w:unhideWhenUsed/>
    <w:rsid w:val="000266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6634"/>
    <w:rPr>
      <w:sz w:val="18"/>
      <w:szCs w:val="18"/>
    </w:rPr>
  </w:style>
  <w:style w:type="character" w:customStyle="1" w:styleId="2Char">
    <w:name w:val="标题 2 Char"/>
    <w:basedOn w:val="a0"/>
    <w:link w:val="2"/>
    <w:rsid w:val="00026634"/>
    <w:rPr>
      <w:rFonts w:ascii="Arial" w:eastAsia="黑体" w:hAnsi="Arial" w:cs="Times New Roman"/>
      <w:b/>
      <w:bCs/>
      <w:sz w:val="32"/>
      <w:szCs w:val="32"/>
    </w:rPr>
  </w:style>
  <w:style w:type="paragraph" w:customStyle="1" w:styleId="CharCharCharCharCharCharCharCharCharCharCharCharCharCharCharChar">
    <w:name w:val=" Char Char Char Char Char Char Char Char Char Char Char Char Char Char Char Char"/>
    <w:basedOn w:val="a"/>
    <w:rsid w:val="00026634"/>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2015-03-09T06:05:00Z</dcterms:created>
  <dcterms:modified xsi:type="dcterms:W3CDTF">2015-03-09T06:06:00Z</dcterms:modified>
</cp:coreProperties>
</file>