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65" w:rsidRPr="00C10396" w:rsidRDefault="00734165" w:rsidP="00734165">
      <w:pPr>
        <w:pStyle w:val="2"/>
        <w:jc w:val="center"/>
        <w:rPr>
          <w:rFonts w:ascii="Times New Roman" w:eastAsia="宋体" w:hAnsi="Times New Roman"/>
          <w:b w:val="0"/>
          <w:bCs w:val="0"/>
          <w:sz w:val="44"/>
        </w:rPr>
      </w:pPr>
      <w:bookmarkStart w:id="0" w:name="_Toc286935838"/>
      <w:bookmarkStart w:id="1" w:name="_Toc289106955"/>
      <w:bookmarkStart w:id="2" w:name="_Toc289870121"/>
      <w:r w:rsidRPr="00C10396">
        <w:rPr>
          <w:rFonts w:ascii="Times New Roman" w:eastAsia="宋体" w:hAnsi="宋体"/>
        </w:rPr>
        <w:t>仪器设备管理办法</w:t>
      </w:r>
      <w:bookmarkEnd w:id="0"/>
      <w:bookmarkEnd w:id="1"/>
      <w:bookmarkEnd w:id="2"/>
    </w:p>
    <w:p w:rsidR="00734165" w:rsidRPr="00C10396" w:rsidRDefault="00734165" w:rsidP="0073416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第一条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bCs/>
          <w:sz w:val="24"/>
        </w:rPr>
        <w:t>为了进一步加强实训基地仪器设备的管理，保证教学、科研及社会服务工作顺利进行，规范仪器设备的采购与使用，特制定本办法。</w:t>
      </w:r>
    </w:p>
    <w:p w:rsidR="00734165" w:rsidRPr="00A15C92" w:rsidRDefault="00734165" w:rsidP="00734165">
      <w:pPr>
        <w:pStyle w:val="1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="宋体" w:hint="default"/>
          <w:b w:val="0"/>
          <w:color w:val="auto"/>
          <w:kern w:val="2"/>
          <w:sz w:val="24"/>
          <w:szCs w:val="24"/>
        </w:rPr>
      </w:pPr>
      <w:r w:rsidRPr="0040389B">
        <w:rPr>
          <w:rFonts w:ascii="Times New Roman" w:eastAsia="宋体"/>
          <w:color w:val="auto"/>
          <w:kern w:val="2"/>
          <w:sz w:val="24"/>
          <w:szCs w:val="24"/>
        </w:rPr>
        <w:t>第</w:t>
      </w:r>
      <w:r>
        <w:rPr>
          <w:rFonts w:ascii="Times New Roman" w:eastAsia="宋体"/>
          <w:color w:val="auto"/>
          <w:kern w:val="2"/>
          <w:sz w:val="24"/>
          <w:szCs w:val="24"/>
        </w:rPr>
        <w:t>二</w:t>
      </w:r>
      <w:r w:rsidRPr="0040389B">
        <w:rPr>
          <w:rFonts w:ascii="Times New Roman" w:eastAsia="宋体"/>
          <w:color w:val="auto"/>
          <w:kern w:val="2"/>
          <w:sz w:val="24"/>
          <w:szCs w:val="24"/>
        </w:rPr>
        <w:t>条</w:t>
      </w:r>
      <w:r>
        <w:rPr>
          <w:rFonts w:ascii="Times New Roman" w:eastAsia="宋体"/>
          <w:color w:val="auto"/>
          <w:kern w:val="2"/>
          <w:sz w:val="24"/>
          <w:szCs w:val="24"/>
        </w:rPr>
        <w:t xml:space="preserve"> </w:t>
      </w:r>
      <w:r w:rsidRPr="00A15C92">
        <w:rPr>
          <w:rFonts w:ascii="Times New Roman" w:eastAsia="宋体"/>
          <w:b w:val="0"/>
          <w:color w:val="auto"/>
          <w:kern w:val="2"/>
          <w:sz w:val="24"/>
          <w:szCs w:val="24"/>
        </w:rPr>
        <w:t>本办法</w:t>
      </w:r>
      <w:r w:rsidRPr="00C10396">
        <w:rPr>
          <w:rFonts w:ascii="Times New Roman" w:eastAsia="宋体" w:hint="default"/>
          <w:b w:val="0"/>
          <w:color w:val="auto"/>
          <w:kern w:val="2"/>
          <w:sz w:val="24"/>
          <w:szCs w:val="24"/>
        </w:rPr>
        <w:t>适用于实训基地所有仪器设备。</w:t>
      </w:r>
    </w:p>
    <w:p w:rsidR="00734165" w:rsidRPr="00C10396" w:rsidRDefault="00734165" w:rsidP="00734165">
      <w:pPr>
        <w:pStyle w:val="1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="宋体" w:hAnsi="Times New Roman" w:hint="default"/>
          <w:b w:val="0"/>
          <w:color w:val="auto"/>
          <w:kern w:val="2"/>
          <w:sz w:val="24"/>
          <w:szCs w:val="24"/>
        </w:rPr>
      </w:pPr>
      <w:r w:rsidRPr="00A15C92">
        <w:rPr>
          <w:rFonts w:ascii="Times New Roman" w:eastAsia="宋体"/>
          <w:color w:val="auto"/>
          <w:kern w:val="2"/>
          <w:sz w:val="24"/>
          <w:szCs w:val="24"/>
        </w:rPr>
        <w:t>第三条</w:t>
      </w:r>
      <w:r w:rsidRPr="00A15C92">
        <w:rPr>
          <w:rFonts w:ascii="Times New Roman" w:eastAsia="宋体"/>
          <w:b w:val="0"/>
          <w:color w:val="auto"/>
          <w:kern w:val="2"/>
          <w:sz w:val="24"/>
          <w:szCs w:val="24"/>
        </w:rPr>
        <w:t xml:space="preserve"> </w:t>
      </w:r>
      <w:r w:rsidRPr="00C10396">
        <w:rPr>
          <w:rFonts w:ascii="Times New Roman" w:eastAsia="宋体" w:hint="default"/>
          <w:b w:val="0"/>
          <w:color w:val="auto"/>
          <w:kern w:val="2"/>
          <w:sz w:val="24"/>
          <w:szCs w:val="24"/>
        </w:rPr>
        <w:t>仪器设备实行院、系（基地）二级管理制度。学院的仪器设备由资产设备管理处归口管理，基地指定专人负责管理。</w:t>
      </w:r>
    </w:p>
    <w:p w:rsidR="00734165" w:rsidRPr="00C10396" w:rsidRDefault="00734165" w:rsidP="00734165">
      <w:pPr>
        <w:pStyle w:val="1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Style w:val="11"/>
          <w:rFonts w:ascii="Times New Roman" w:eastAsia="宋体" w:hAnsi="Times New Roman" w:hint="default"/>
          <w:color w:val="000000"/>
          <w:sz w:val="24"/>
          <w:szCs w:val="24"/>
        </w:rPr>
      </w:pPr>
      <w:r w:rsidRPr="0040389B">
        <w:rPr>
          <w:rFonts w:ascii="Times New Roman" w:eastAsia="宋体"/>
          <w:bCs w:val="0"/>
          <w:color w:val="000000"/>
          <w:sz w:val="24"/>
          <w:szCs w:val="24"/>
        </w:rPr>
        <w:t>第</w:t>
      </w:r>
      <w:r>
        <w:rPr>
          <w:rFonts w:ascii="Times New Roman" w:eastAsia="宋体"/>
          <w:bCs w:val="0"/>
          <w:color w:val="000000"/>
          <w:sz w:val="24"/>
          <w:szCs w:val="24"/>
        </w:rPr>
        <w:t>四</w:t>
      </w:r>
      <w:r w:rsidRPr="0040389B">
        <w:rPr>
          <w:rFonts w:ascii="Times New Roman" w:eastAsia="宋体"/>
          <w:bCs w:val="0"/>
          <w:color w:val="000000"/>
          <w:sz w:val="24"/>
          <w:szCs w:val="24"/>
        </w:rPr>
        <w:t>条</w:t>
      </w:r>
      <w:r>
        <w:rPr>
          <w:rFonts w:ascii="Times New Roman" w:eastAsia="宋体"/>
          <w:bCs w:val="0"/>
          <w:color w:val="000000"/>
          <w:sz w:val="24"/>
          <w:szCs w:val="24"/>
        </w:rPr>
        <w:t xml:space="preserve"> </w:t>
      </w:r>
      <w:r w:rsidRPr="00C10396">
        <w:rPr>
          <w:rStyle w:val="11"/>
          <w:rFonts w:ascii="Times New Roman" w:eastAsia="宋体" w:hint="default"/>
          <w:color w:val="000000"/>
          <w:sz w:val="24"/>
          <w:szCs w:val="24"/>
        </w:rPr>
        <w:t>使用年限在一年以上，单价在</w:t>
      </w:r>
      <w:r w:rsidR="009A7555">
        <w:rPr>
          <w:rStyle w:val="11"/>
          <w:rFonts w:ascii="Times New Roman" w:eastAsia="宋体" w:hAnsi="Times New Roman"/>
          <w:color w:val="000000"/>
          <w:sz w:val="24"/>
          <w:szCs w:val="24"/>
        </w:rPr>
        <w:t>1500</w:t>
      </w:r>
      <w:bookmarkStart w:id="3" w:name="_GoBack"/>
      <w:bookmarkEnd w:id="3"/>
      <w:r w:rsidRPr="00C10396">
        <w:rPr>
          <w:rStyle w:val="11"/>
          <w:rFonts w:ascii="Times New Roman" w:eastAsia="宋体" w:hint="default"/>
          <w:color w:val="000000"/>
          <w:sz w:val="24"/>
          <w:szCs w:val="24"/>
        </w:rPr>
        <w:t>元及以上的仪器设备，能单独使用，并在使用过程中能保持其实物形态的均为固定资产。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sz w:val="24"/>
        </w:rPr>
        <w:t>第五条</w:t>
      </w:r>
      <w:r w:rsidRPr="00C10396">
        <w:rPr>
          <w:b/>
          <w:bCs/>
          <w:color w:val="000000"/>
          <w:sz w:val="24"/>
        </w:rPr>
        <w:t xml:space="preserve"> </w:t>
      </w:r>
      <w:r w:rsidRPr="00C10396">
        <w:rPr>
          <w:rFonts w:hAnsi="宋体"/>
          <w:b/>
          <w:bCs/>
          <w:color w:val="000000"/>
          <w:sz w:val="24"/>
        </w:rPr>
        <w:t>仪器设备的申请与购置</w:t>
      </w:r>
    </w:p>
    <w:p w:rsidR="00734165" w:rsidRPr="00C10396" w:rsidRDefault="00734165" w:rsidP="00734165">
      <w:pPr>
        <w:spacing w:line="360" w:lineRule="auto"/>
        <w:ind w:firstLineChars="200" w:firstLine="480"/>
        <w:rPr>
          <w:color w:val="000000"/>
          <w:sz w:val="24"/>
        </w:rPr>
      </w:pPr>
      <w:r w:rsidRPr="00C10396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</w:t>
      </w:r>
      <w:r w:rsidRPr="00C10396">
        <w:rPr>
          <w:rFonts w:hAnsi="宋体"/>
          <w:color w:val="000000"/>
          <w:sz w:val="24"/>
        </w:rPr>
        <w:t>所有仪器设备的购置，必须按规定程序办理申请审批手续方可落实采购。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color w:val="000000"/>
          <w:sz w:val="24"/>
        </w:rPr>
      </w:pPr>
      <w:r w:rsidRPr="00C10396"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</w:t>
      </w:r>
      <w:r w:rsidRPr="00C10396">
        <w:rPr>
          <w:rFonts w:hAnsi="宋体"/>
          <w:color w:val="000000"/>
          <w:sz w:val="24"/>
        </w:rPr>
        <w:t>购置仪器设备由实训基地根据有关计划提出申请，</w:t>
      </w:r>
      <w:proofErr w:type="gramStart"/>
      <w:r w:rsidRPr="00C10396">
        <w:rPr>
          <w:rFonts w:hAnsi="宋体"/>
          <w:color w:val="000000"/>
          <w:sz w:val="24"/>
        </w:rPr>
        <w:t>系部或</w:t>
      </w:r>
      <w:proofErr w:type="gramEnd"/>
      <w:r w:rsidRPr="00C10396">
        <w:rPr>
          <w:rFonts w:hAnsi="宋体"/>
          <w:color w:val="000000"/>
          <w:sz w:val="24"/>
        </w:rPr>
        <w:t>学院审批后由</w:t>
      </w:r>
      <w:r w:rsidRPr="00C10396">
        <w:rPr>
          <w:rFonts w:hAnsi="宋体"/>
          <w:sz w:val="24"/>
        </w:rPr>
        <w:t>资产设备处</w:t>
      </w:r>
      <w:r w:rsidRPr="00C10396">
        <w:rPr>
          <w:rFonts w:hAnsi="宋体"/>
          <w:color w:val="000000"/>
          <w:sz w:val="24"/>
        </w:rPr>
        <w:t>具体落实购置。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color w:val="000000"/>
          <w:sz w:val="24"/>
        </w:rPr>
      </w:pPr>
      <w:r w:rsidRPr="00C10396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</w:t>
      </w:r>
      <w:r w:rsidRPr="00C10396">
        <w:rPr>
          <w:rFonts w:hAnsi="宋体"/>
          <w:color w:val="000000"/>
          <w:sz w:val="24"/>
        </w:rPr>
        <w:t>批量设备总值或单件设备值在二万元及以上的项目，原则上采取招标采购。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sz w:val="24"/>
        </w:rPr>
        <w:t>第六条</w:t>
      </w:r>
      <w:r w:rsidRPr="00C10396">
        <w:rPr>
          <w:b/>
          <w:bCs/>
          <w:sz w:val="24"/>
        </w:rPr>
        <w:t xml:space="preserve">  </w:t>
      </w:r>
      <w:r w:rsidRPr="00C10396">
        <w:rPr>
          <w:rFonts w:hAnsi="宋体"/>
          <w:b/>
          <w:bCs/>
          <w:sz w:val="24"/>
        </w:rPr>
        <w:t>仪器设备的验收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1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仪器设备的数量、外观、规格型号等常规性验收，由资产设备处负责完成。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2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仪器设备的技术验收，由实训基地</w:t>
      </w:r>
      <w:proofErr w:type="gramStart"/>
      <w:r w:rsidRPr="00C10396">
        <w:rPr>
          <w:rFonts w:hAnsi="宋体"/>
          <w:sz w:val="24"/>
        </w:rPr>
        <w:t>及系部技术人员</w:t>
      </w:r>
      <w:proofErr w:type="gramEnd"/>
      <w:r w:rsidRPr="00C10396">
        <w:rPr>
          <w:rFonts w:hAnsi="宋体"/>
          <w:sz w:val="24"/>
        </w:rPr>
        <w:t>，使用者和保管人员共同参与完成。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3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凡</w:t>
      </w:r>
      <w:r w:rsidRPr="00C10396">
        <w:rPr>
          <w:sz w:val="24"/>
        </w:rPr>
        <w:t>10</w:t>
      </w:r>
      <w:r w:rsidRPr="00C10396">
        <w:rPr>
          <w:rFonts w:hAnsi="宋体"/>
          <w:sz w:val="24"/>
        </w:rPr>
        <w:t>万元以上（含）的大型精密贵重仪器设备的验收，由实训基地组织有关专家及资产设备管理处、实训基地、供货单位等有关人员共同组成验收小组进行验收，并填写《大型精密贵重仪器设备验收报告》一式三份，资产设备处、实训基地主任处、具体接收实验室各一份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4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进口设备必须在索赔期内完成验收工作，国产设备也应在合同规定的验收期限内完成验收工作。因故不能按时完成验收工作的，应及时报告资产设备处。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5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自行安装的仪器设备，必须首先仔细阅读安装使用说明书，严格按说明书要求安装、调试。厂方负责安装的，应在合同规定的期限内由厂方派人到校安装、调试和验收。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lastRenderedPageBreak/>
        <w:t>6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在验收过程中，如发现有破损、短缺和质量问题的，应做好记录，及时报告物资采购招标办，以便在有效期内向供方提出交涉，办理退、换、补、</w:t>
      </w:r>
      <w:proofErr w:type="gramStart"/>
      <w:r w:rsidRPr="00C10396">
        <w:rPr>
          <w:rFonts w:hAnsi="宋体"/>
          <w:sz w:val="24"/>
        </w:rPr>
        <w:t>赔等手续</w:t>
      </w:r>
      <w:proofErr w:type="gramEnd"/>
      <w:r w:rsidRPr="00C10396">
        <w:rPr>
          <w:rFonts w:hAnsi="宋体"/>
          <w:sz w:val="24"/>
        </w:rPr>
        <w:t>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sz w:val="24"/>
        </w:rPr>
        <w:t>第七条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b/>
          <w:bCs/>
          <w:sz w:val="24"/>
        </w:rPr>
        <w:t>仪器设备的使用与保管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1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对仪器设备的使用必须有严格的规章制度，要制定操作规程。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2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大型精密贵重仪器设备，必须选派业务能力强的技术人员负责管理和指导使用，作好维护保养工作并建立技术档案，准确记录使用、借用、损坏、检查、维护等情况。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3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保修期内的仪器设备，任何人不得擅自拆卸修理。对保修期外需进行技术改造的仪器设备，要经批准后方可拆改。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4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要充分发挥仪器设备的使用效益，鼓励开展社会服务。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5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仪器设备领用或保管人在办理出国、调动、退休等离岗手续前，必须办理好仪器设备的清点移交工作，方可办理相应手续。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sz w:val="24"/>
        </w:rPr>
        <w:t>第八条</w:t>
      </w:r>
      <w:r>
        <w:rPr>
          <w:rFonts w:hint="eastAsia"/>
          <w:b/>
          <w:bCs/>
          <w:sz w:val="24"/>
        </w:rPr>
        <w:t xml:space="preserve"> </w:t>
      </w:r>
      <w:r w:rsidRPr="00C10396">
        <w:rPr>
          <w:rFonts w:hAnsi="宋体"/>
          <w:b/>
          <w:bCs/>
          <w:sz w:val="24"/>
        </w:rPr>
        <w:t>仪器设备的维修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1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实训基地实验技术人员及实验实</w:t>
      </w:r>
      <w:proofErr w:type="gramStart"/>
      <w:r w:rsidRPr="00C10396">
        <w:rPr>
          <w:rFonts w:hAnsi="宋体"/>
          <w:sz w:val="24"/>
        </w:rPr>
        <w:t>训指导</w:t>
      </w:r>
      <w:proofErr w:type="gramEnd"/>
      <w:r w:rsidRPr="00C10396">
        <w:rPr>
          <w:rFonts w:hAnsi="宋体"/>
          <w:sz w:val="24"/>
        </w:rPr>
        <w:t>教师都有责任做好仪器设备的维护、检修、校验工作，保证仪器设备经常处于完好状态。平时要认真钻研维修技术，不断提高技术水平。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2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各实验室对自己不能修理的仪器设备，送资产设备处或请其他专业人员维修。</w:t>
      </w:r>
    </w:p>
    <w:p w:rsidR="00734165" w:rsidRPr="00C10396" w:rsidRDefault="00734165" w:rsidP="00734165">
      <w:pPr>
        <w:spacing w:line="360" w:lineRule="auto"/>
        <w:ind w:firstLineChars="200" w:firstLine="480"/>
        <w:rPr>
          <w:sz w:val="24"/>
        </w:rPr>
      </w:pPr>
      <w:r w:rsidRPr="00C10396">
        <w:rPr>
          <w:sz w:val="24"/>
        </w:rPr>
        <w:t>3</w:t>
      </w:r>
      <w:r>
        <w:rPr>
          <w:rFonts w:hint="eastAsia"/>
          <w:sz w:val="24"/>
        </w:rPr>
        <w:t>、</w:t>
      </w:r>
      <w:r w:rsidRPr="00C10396">
        <w:rPr>
          <w:rFonts w:hAnsi="宋体"/>
          <w:sz w:val="24"/>
        </w:rPr>
        <w:t>仪器设备经过维修要及时在《维修登记表》上做好登记。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第九条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对大型精密贵重仪器设备的管理工作，按《大型精密贵重仪器设备管理办法》执行。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第十条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对设备仪器的损坏、丢失赔偿，按《仪器设备及材料损坏、丢失赔偿办法》执行。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第十一条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对仪器设备的报废、调拨、出借，按《仪器设备报废、调拨、出借管理办法》执行。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第十二条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本管理办法由生物与食品技术综合实训基地负责解释，如有与学校相关规定不符或抵触之处，应以学校规定为准。</w:t>
      </w:r>
    </w:p>
    <w:p w:rsidR="00734165" w:rsidRPr="00C10396" w:rsidRDefault="00734165" w:rsidP="00734165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第十三条</w:t>
      </w:r>
      <w:r>
        <w:rPr>
          <w:rFonts w:hint="eastAsia"/>
          <w:b/>
          <w:sz w:val="24"/>
        </w:rPr>
        <w:t xml:space="preserve"> </w:t>
      </w:r>
      <w:r w:rsidRPr="00C10396">
        <w:rPr>
          <w:rFonts w:hAnsi="宋体"/>
          <w:sz w:val="24"/>
        </w:rPr>
        <w:t>本办法自</w:t>
      </w:r>
      <w:r>
        <w:rPr>
          <w:rFonts w:hAnsi="宋体" w:hint="eastAsia"/>
          <w:sz w:val="24"/>
        </w:rPr>
        <w:t>公布之日</w:t>
      </w:r>
      <w:r w:rsidRPr="00C10396">
        <w:rPr>
          <w:rFonts w:hAnsi="宋体"/>
          <w:sz w:val="24"/>
        </w:rPr>
        <w:t>起施行。</w:t>
      </w:r>
    </w:p>
    <w:p w:rsidR="00B53769" w:rsidRPr="00734165" w:rsidRDefault="00B53769">
      <w:pPr>
        <w:rPr>
          <w:rFonts w:hint="eastAsia"/>
        </w:rPr>
      </w:pPr>
    </w:p>
    <w:sectPr w:rsidR="00B53769" w:rsidRPr="0073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B7" w:rsidRDefault="00B111B7" w:rsidP="00734165">
      <w:r>
        <w:separator/>
      </w:r>
    </w:p>
  </w:endnote>
  <w:endnote w:type="continuationSeparator" w:id="0">
    <w:p w:rsidR="00B111B7" w:rsidRDefault="00B111B7" w:rsidP="0073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B7" w:rsidRDefault="00B111B7" w:rsidP="00734165">
      <w:r>
        <w:separator/>
      </w:r>
    </w:p>
  </w:footnote>
  <w:footnote w:type="continuationSeparator" w:id="0">
    <w:p w:rsidR="00B111B7" w:rsidRDefault="00B111B7" w:rsidP="0073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C"/>
    <w:rsid w:val="00693A0C"/>
    <w:rsid w:val="00734165"/>
    <w:rsid w:val="009A7555"/>
    <w:rsid w:val="00B111B7"/>
    <w:rsid w:val="00B5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3416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65"/>
    <w:rPr>
      <w:sz w:val="18"/>
      <w:szCs w:val="18"/>
    </w:rPr>
  </w:style>
  <w:style w:type="character" w:customStyle="1" w:styleId="2Char">
    <w:name w:val="标题 2 Char"/>
    <w:basedOn w:val="a0"/>
    <w:link w:val="2"/>
    <w:rsid w:val="00734165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样式1"/>
    <w:basedOn w:val="a"/>
    <w:rsid w:val="00734165"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color w:val="F86400"/>
      <w:kern w:val="0"/>
      <w:sz w:val="27"/>
      <w:szCs w:val="27"/>
    </w:rPr>
  </w:style>
  <w:style w:type="character" w:customStyle="1" w:styleId="11">
    <w:name w:val="样式11"/>
    <w:basedOn w:val="a0"/>
    <w:rsid w:val="00734165"/>
    <w:rPr>
      <w:rFonts w:ascii="楷体_GB2312" w:eastAsia="楷体_GB2312" w:hint="eastAsia"/>
      <w:b/>
      <w:bCs/>
      <w:color w:val="F86400"/>
      <w:sz w:val="27"/>
      <w:szCs w:val="27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73416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3416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65"/>
    <w:rPr>
      <w:sz w:val="18"/>
      <w:szCs w:val="18"/>
    </w:rPr>
  </w:style>
  <w:style w:type="character" w:customStyle="1" w:styleId="2Char">
    <w:name w:val="标题 2 Char"/>
    <w:basedOn w:val="a0"/>
    <w:link w:val="2"/>
    <w:rsid w:val="00734165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样式1"/>
    <w:basedOn w:val="a"/>
    <w:rsid w:val="00734165"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color w:val="F86400"/>
      <w:kern w:val="0"/>
      <w:sz w:val="27"/>
      <w:szCs w:val="27"/>
    </w:rPr>
  </w:style>
  <w:style w:type="character" w:customStyle="1" w:styleId="11">
    <w:name w:val="样式11"/>
    <w:basedOn w:val="a0"/>
    <w:rsid w:val="00734165"/>
    <w:rPr>
      <w:rFonts w:ascii="楷体_GB2312" w:eastAsia="楷体_GB2312" w:hint="eastAsia"/>
      <w:b/>
      <w:bCs/>
      <w:color w:val="F86400"/>
      <w:sz w:val="27"/>
      <w:szCs w:val="27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73416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微软中国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2015-03-09T06:02:00Z</dcterms:created>
  <dcterms:modified xsi:type="dcterms:W3CDTF">2015-03-09T06:03:00Z</dcterms:modified>
</cp:coreProperties>
</file>